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Risk Management Plan - Hepatic Safety Module</w:t>
      </w:r>
    </w:p>
    <w:p>
      <w:r>
        <w:t>Drug: STUDY-DRUG-001    Quarter: Q1</w:t>
      </w:r>
    </w:p>
    <w:p>
      <w:r>
        <w:t>본 보고서는 자동화 도구로 생성된 1차 안전성 시그널 요약이며, 확정적 인과성 판정이나 임상적 의사결정의 근거가 아니다.</w:t>
      </w:r>
    </w:p>
    <w:p>
      <w:pPr>
        <w:pStyle w:val="Heading1"/>
      </w:pPr>
      <w:r>
        <w:t>1. Evaluable population</w:t>
      </w:r>
    </w:p>
    <w:p>
      <w:r>
        <w:t>N = 600</w:t>
      </w:r>
    </w:p>
    <w:p>
      <w:pPr>
        <w:pStyle w:val="Heading1"/>
      </w:pPr>
      <w:r>
        <w:t>2. Hy's law analysis</w:t>
      </w:r>
    </w:p>
    <w:p>
      <w:r>
        <w:t xml:space="preserve">  - n_total: 600</w:t>
      </w:r>
    </w:p>
    <w:p>
      <w:r>
        <w:t xml:space="preserve">  - n_classical_hys: 7</w:t>
      </w:r>
    </w:p>
    <w:p>
      <w:r>
        <w:t xml:space="preserve">  - n_baseline_adj_hys: 7</w:t>
      </w:r>
    </w:p>
    <w:p>
      <w:r>
        <w:t xml:space="preserve">  - n_hy_zone: 7</w:t>
      </w:r>
    </w:p>
    <w:p>
      <w:r>
        <w:t xml:space="preserve">  - n_temple: 61</w:t>
      </w:r>
    </w:p>
    <w:p>
      <w:r>
        <w:t xml:space="preserve">  - n_cholestatic: 0</w:t>
      </w:r>
    </w:p>
    <w:p>
      <w:r>
        <w:t xml:space="preserve">  - n_hepatocellular_pattern: 63</w:t>
      </w:r>
    </w:p>
    <w:p>
      <w:r>
        <w:t xml:space="preserve">  - n_mixed_pattern: 407</w:t>
      </w:r>
    </w:p>
    <w:p>
      <w:r>
        <w:t xml:space="preserve">  - n_cholestatic_pattern: 130</w:t>
      </w:r>
    </w:p>
    <w:p>
      <w:pPr>
        <w:pStyle w:val="Heading1"/>
      </w:pPr>
      <w:r>
        <w:t>3. RUCAM causality distribution</w:t>
      </w:r>
    </w:p>
    <w:p>
      <w:r>
        <w:t xml:space="preserve">  - possible: 593</w:t>
      </w:r>
    </w:p>
    <w:p>
      <w:r>
        <w:t xml:space="preserve">  - probable: 7</w:t>
      </w:r>
    </w:p>
    <w:p>
      <w:pPr>
        <w:pStyle w:val="Heading1"/>
      </w:pPr>
      <w:r>
        <w:t>4. Placebo-attributable signal</w:t>
      </w:r>
    </w:p>
    <w:p>
      <w:r>
        <w:t xml:space="preserve">  - drug_classical_hys_rate: 0.0146</w:t>
      </w:r>
    </w:p>
    <w:p>
      <w:r>
        <w:t xml:space="preserve">  - drug_temple_corollary_rate: 0.1271</w:t>
      </w:r>
    </w:p>
    <w:p>
      <w:r>
        <w:t xml:space="preserve">  - placebo_ref_classical_hys_rate: 0.0024000000000000002</w:t>
      </w:r>
    </w:p>
    <w:p>
      <w:r>
        <w:t xml:space="preserve">  - placebo_ref_temple_corollary_rate: 0.021799999999999996</w:t>
      </w:r>
    </w:p>
    <w:p>
      <w:r>
        <w:t xml:space="preserve">  - attributable_classical_hys: 0.0122</w:t>
      </w:r>
    </w:p>
    <w:p>
      <w:r>
        <w:t xml:space="preserve">  - attributable_temple: 0.1053</w:t>
      </w:r>
    </w:p>
    <w:p>
      <w:pPr>
        <w:pStyle w:val="Heading1"/>
      </w:pPr>
      <w:r>
        <w:t>5. Class-effect safety panel flags</w:t>
      </w:r>
    </w:p>
    <w:p>
      <w:r>
        <w:t xml:space="preserve">  - ACC: 117 flagged signal(s)</w:t>
      </w:r>
    </w:p>
    <w:p>
      <w:r>
        <w:t xml:space="preserve">  - FGF21: 313 flagged signal(s)</w:t>
      </w:r>
    </w:p>
    <w:p>
      <w:r>
        <w:t xml:space="preserve">  - FXR: 119 flagged signal(s)</w:t>
      </w:r>
    </w:p>
    <w:p>
      <w:r>
        <w:t xml:space="preserve">  - THRb: 179 flagged signal(s)</w:t>
      </w:r>
    </w:p>
    <w:p>
      <w:pPr>
        <w:pStyle w:val="Heading1"/>
      </w:pPr>
      <w:r>
        <w:t>6. Recommendations</w:t>
      </w:r>
    </w:p>
    <w:p>
      <w:r>
        <w:t>각 probable/highly probable RUCAM case는 사이트 PI와 메디컬 모니터의 case-by-case adjudication을 거쳐 SUSAR/SAE 보고 여부를 결정한다.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